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B94BE" w14:textId="5A15D9ED" w:rsidR="00F92DD9" w:rsidRPr="003D1D5D" w:rsidRDefault="00DE3530" w:rsidP="003D1D5D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sz w:val="32"/>
          <w:szCs w:val="32"/>
        </w:rPr>
      </w:pPr>
      <w:r w:rsidRPr="003D1D5D">
        <w:rPr>
          <w:rFonts w:asciiTheme="majorHAnsi" w:hAnsiTheme="majorHAnsi" w:cstheme="majorHAnsi"/>
          <w:sz w:val="32"/>
          <w:szCs w:val="32"/>
        </w:rPr>
        <w:t>Notice méthodologique</w:t>
      </w:r>
    </w:p>
    <w:p w14:paraId="1356400D" w14:textId="49A0B640" w:rsidR="003D1D5D" w:rsidRPr="003D1D5D" w:rsidRDefault="003D1D5D" w:rsidP="003D1D5D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Consultation des propriétaires et occupants des zones d’activité économique</w:t>
      </w:r>
    </w:p>
    <w:p w14:paraId="5B928410" w14:textId="1EE136E0" w:rsidR="00DE3530" w:rsidRDefault="00DE3530"/>
    <w:p w14:paraId="4102F9C7" w14:textId="320C09EB" w:rsidR="00DE3530" w:rsidRDefault="009B4E02" w:rsidP="00A4661B">
      <w:pPr>
        <w:jc w:val="both"/>
      </w:pPr>
      <w:r>
        <w:t>Accompagnée par l’Agence de Développement et d’Urbanisme du Grand Amiénois (ADUGA), l</w:t>
      </w:r>
      <w:r w:rsidR="00DE3530">
        <w:t xml:space="preserve">a Communauté </w:t>
      </w:r>
      <w:r w:rsidR="00275505">
        <w:t>d’agglomération Amiens Métropole</w:t>
      </w:r>
      <w:r w:rsidR="00DE3530" w:rsidRPr="003D1D5D">
        <w:rPr>
          <w:i/>
          <w:iCs/>
        </w:rPr>
        <w:t xml:space="preserve"> </w:t>
      </w:r>
      <w:r w:rsidR="00DE3530">
        <w:t>réalise son inventaire des Zones d’Activité Economique (ZAE), rendu obligatoire par la Loi n°2021-1104 du 22 août 2021 portant lutte contre le dérèglement climatique et renforcement de la résilience face à ses effets, dite Loi Climat et Résilience.</w:t>
      </w:r>
    </w:p>
    <w:p w14:paraId="718FB2AB" w14:textId="30C642AF" w:rsidR="00DE3530" w:rsidRDefault="00DE3530" w:rsidP="00A4661B">
      <w:pPr>
        <w:jc w:val="both"/>
      </w:pPr>
    </w:p>
    <w:p w14:paraId="40F8F117" w14:textId="238A9A78" w:rsidR="00DE3530" w:rsidRDefault="00DE3530" w:rsidP="00A4661B">
      <w:pPr>
        <w:jc w:val="both"/>
      </w:pPr>
      <w:r>
        <w:t xml:space="preserve">L’inventaire des ZAE a pour finalité de détailler </w:t>
      </w: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minima</w:t>
      </w:r>
      <w:r>
        <w:t xml:space="preserve"> les éléments suivants (Art. L. 318-8-2</w:t>
      </w:r>
      <w:r w:rsidR="002C64D5">
        <w:t>, Code de l’Urbanisme)</w:t>
      </w:r>
    </w:p>
    <w:p w14:paraId="6A8A5E2F" w14:textId="0579F2E4" w:rsidR="00DE3530" w:rsidRDefault="00DE3530" w:rsidP="00A4661B">
      <w:pPr>
        <w:jc w:val="both"/>
      </w:pPr>
      <w:r>
        <w:t xml:space="preserve">- </w:t>
      </w:r>
      <w:r w:rsidR="00F9652D">
        <w:t>U</w:t>
      </w:r>
      <w:r>
        <w:t>n état parcellaire des unités foncières composant la zone d’activité économique</w:t>
      </w:r>
      <w:r w:rsidR="00F9652D">
        <w:t>, comportant la surface de chaque unité foncière et l’identification du propriétaire ;</w:t>
      </w:r>
    </w:p>
    <w:p w14:paraId="2066A30C" w14:textId="1DC7B40F" w:rsidR="00F9652D" w:rsidRDefault="00F9652D" w:rsidP="00A4661B">
      <w:pPr>
        <w:jc w:val="both"/>
      </w:pPr>
      <w:r>
        <w:t>- L’identification des occupants de la zone d’activité économique ;</w:t>
      </w:r>
    </w:p>
    <w:p w14:paraId="101D987C" w14:textId="0360DE35" w:rsidR="00F9652D" w:rsidRDefault="00F9652D" w:rsidP="00A4661B">
      <w:pPr>
        <w:jc w:val="both"/>
      </w:pPr>
      <w:r>
        <w:t>- Le taux de vacance de la zone d’activité économique.</w:t>
      </w:r>
    </w:p>
    <w:p w14:paraId="363951EC" w14:textId="5008AD31" w:rsidR="00F9652D" w:rsidRDefault="00F9652D" w:rsidP="00A4661B">
      <w:pPr>
        <w:jc w:val="both"/>
      </w:pPr>
    </w:p>
    <w:p w14:paraId="77E8FE33" w14:textId="0067649A" w:rsidR="00F9652D" w:rsidRDefault="00F9652D" w:rsidP="00A4661B">
      <w:pPr>
        <w:jc w:val="both"/>
      </w:pPr>
      <w:r>
        <w:t xml:space="preserve">Une période de consultation de 30 (trente) jours des propriétaires et des occupants des zones d’activité économique identifiées est prévue par la loi. La présente consultation, organisée </w:t>
      </w:r>
      <w:r w:rsidR="00275505">
        <w:t xml:space="preserve">18 septembre 2023 au 18 </w:t>
      </w:r>
      <w:proofErr w:type="spellStart"/>
      <w:r w:rsidR="00275505">
        <w:t>ocotbre</w:t>
      </w:r>
      <w:proofErr w:type="spellEnd"/>
      <w:r w:rsidR="00275505">
        <w:t xml:space="preserve"> 2023 inclus</w:t>
      </w:r>
      <w:r>
        <w:t>, répond à cette obligation.</w:t>
      </w:r>
    </w:p>
    <w:p w14:paraId="490B950D" w14:textId="5C61E53E" w:rsidR="00F9652D" w:rsidRDefault="00F9652D" w:rsidP="00A4661B">
      <w:pPr>
        <w:jc w:val="both"/>
      </w:pPr>
    </w:p>
    <w:p w14:paraId="32A46D57" w14:textId="02E70475" w:rsidR="00F9652D" w:rsidRPr="003D1D5D" w:rsidRDefault="00F9652D" w:rsidP="00A4661B">
      <w:pPr>
        <w:jc w:val="both"/>
        <w:rPr>
          <w:b/>
          <w:bCs/>
          <w:u w:val="single"/>
        </w:rPr>
      </w:pPr>
      <w:r w:rsidRPr="003D1D5D">
        <w:rPr>
          <w:b/>
          <w:bCs/>
          <w:u w:val="single"/>
        </w:rPr>
        <w:t>Objet de la consultation</w:t>
      </w:r>
    </w:p>
    <w:p w14:paraId="02852F74" w14:textId="73EBD08D" w:rsidR="00F9652D" w:rsidRDefault="00F9652D" w:rsidP="00A4661B">
      <w:pPr>
        <w:jc w:val="both"/>
      </w:pPr>
      <w:r>
        <w:t>Les propriétaires et les occupants des Zones d’Activité Economique sont invités à vérifier l’exactitude des informations établies par la Communauté de Communes [xxx].</w:t>
      </w:r>
      <w:r w:rsidR="002C64D5">
        <w:t xml:space="preserve"> Les unités foncières identifiées comme relevant d’une zone d’activité économique ont été associées à un numéro, auquel </w:t>
      </w:r>
      <w:proofErr w:type="gramStart"/>
      <w:r w:rsidR="002C64D5">
        <w:t>correspond</w:t>
      </w:r>
      <w:proofErr w:type="gramEnd"/>
      <w:r w:rsidR="002C64D5">
        <w:t xml:space="preserve"> un propriétaire et, le cas échéant, un ou plusieurs occupants.</w:t>
      </w:r>
    </w:p>
    <w:p w14:paraId="38ACB64C" w14:textId="54DA4BDD" w:rsidR="002C64D5" w:rsidRDefault="002C64D5" w:rsidP="00A4661B">
      <w:pPr>
        <w:jc w:val="both"/>
      </w:pPr>
    </w:p>
    <w:p w14:paraId="2C2583E2" w14:textId="77777777" w:rsidR="00275505" w:rsidRDefault="002C64D5" w:rsidP="00275505">
      <w:pPr>
        <w:jc w:val="both"/>
        <w:rPr>
          <w:rFonts w:ascii="Arial" w:hAnsi="Arial" w:cs="Arial"/>
          <w:color w:val="E31E25"/>
          <w:sz w:val="21"/>
          <w:szCs w:val="21"/>
          <w:shd w:val="clear" w:color="auto" w:fill="F0F0F0"/>
        </w:rPr>
      </w:pPr>
      <w:r>
        <w:t xml:space="preserve">Les propriétaires et les occupants peuvent effectuer leurs remarques et suggestions de correction par mail, à l’adresse suivante : </w:t>
      </w:r>
      <w:r w:rsidR="00275505">
        <w:rPr>
          <w:rFonts w:ascii="Arial" w:hAnsi="Arial" w:cs="Arial"/>
          <w:color w:val="E31E25"/>
          <w:sz w:val="21"/>
          <w:szCs w:val="21"/>
          <w:shd w:val="clear" w:color="auto" w:fill="F0F0F0"/>
        </w:rPr>
        <w:t>deveco@amiens-metropole.com. </w:t>
      </w:r>
    </w:p>
    <w:p w14:paraId="559D3759" w14:textId="198B1D13" w:rsidR="002C64D5" w:rsidRDefault="002C64D5" w:rsidP="00A4661B">
      <w:pPr>
        <w:jc w:val="both"/>
      </w:pPr>
    </w:p>
    <w:p w14:paraId="65BB8DE1" w14:textId="673ECCAC" w:rsidR="00F9652D" w:rsidRDefault="00F9652D" w:rsidP="00A4661B">
      <w:pPr>
        <w:jc w:val="both"/>
      </w:pPr>
    </w:p>
    <w:p w14:paraId="6F3EDDD0" w14:textId="72667D94" w:rsidR="00F9652D" w:rsidRPr="003D1D5D" w:rsidRDefault="00F9652D" w:rsidP="00A4661B">
      <w:pPr>
        <w:jc w:val="both"/>
        <w:rPr>
          <w:b/>
          <w:bCs/>
          <w:u w:val="single"/>
        </w:rPr>
      </w:pPr>
      <w:r w:rsidRPr="003D1D5D">
        <w:rPr>
          <w:b/>
          <w:bCs/>
          <w:u w:val="single"/>
        </w:rPr>
        <w:t>Procédure de consultation</w:t>
      </w:r>
    </w:p>
    <w:p w14:paraId="6A02ABD4" w14:textId="548F4D80" w:rsidR="003D1D5D" w:rsidRDefault="003D1D5D" w:rsidP="00A4661B">
      <w:pPr>
        <w:jc w:val="both"/>
      </w:pPr>
      <w:r>
        <w:t>Les pièces de l’inventaire soumises à consultation sont consultables sous deux formes : physique, au siège de l’EPCI, et numérique, via une plateforme en ligne.</w:t>
      </w:r>
    </w:p>
    <w:p w14:paraId="6741BD48" w14:textId="77777777" w:rsidR="003D1D5D" w:rsidRDefault="003D1D5D" w:rsidP="00A4661B">
      <w:pPr>
        <w:jc w:val="both"/>
      </w:pPr>
    </w:p>
    <w:p w14:paraId="60EC9C83" w14:textId="0386D90F" w:rsidR="002C64D5" w:rsidRDefault="002C64D5" w:rsidP="00A4661B">
      <w:pPr>
        <w:jc w:val="both"/>
      </w:pPr>
      <w:r>
        <w:t>Les pièces du dossier, consultables au siège de l’EPCI, se composent de :</w:t>
      </w:r>
    </w:p>
    <w:p w14:paraId="4C83C4FA" w14:textId="380541D9" w:rsidR="002C64D5" w:rsidRDefault="002C64D5" w:rsidP="00A4661B">
      <w:pPr>
        <w:jc w:val="both"/>
      </w:pPr>
      <w:r>
        <w:t>- plans des zones d’activité économique ;</w:t>
      </w:r>
    </w:p>
    <w:p w14:paraId="38B0923D" w14:textId="54F6C138" w:rsidR="002C64D5" w:rsidRDefault="002C64D5" w:rsidP="00A4661B">
      <w:pPr>
        <w:jc w:val="both"/>
      </w:pPr>
      <w:r>
        <w:t>- liste des propriétaires fonciers ;</w:t>
      </w:r>
    </w:p>
    <w:p w14:paraId="195F5D49" w14:textId="48C87BB1" w:rsidR="002C64D5" w:rsidRDefault="002C64D5" w:rsidP="00A4661B">
      <w:pPr>
        <w:jc w:val="both"/>
      </w:pPr>
      <w:r>
        <w:t>- liste des occupants.</w:t>
      </w:r>
    </w:p>
    <w:p w14:paraId="4E3E0D57" w14:textId="77777777" w:rsidR="002C64D5" w:rsidRDefault="002C64D5" w:rsidP="00A4661B">
      <w:pPr>
        <w:jc w:val="both"/>
      </w:pPr>
    </w:p>
    <w:p w14:paraId="429CF6DA" w14:textId="3C3041F9" w:rsidR="002C64D5" w:rsidRDefault="002C64D5" w:rsidP="00A4661B">
      <w:pPr>
        <w:jc w:val="both"/>
      </w:pPr>
      <w:r>
        <w:t xml:space="preserve">Une plateforme en ligne est </w:t>
      </w:r>
      <w:r w:rsidR="003D1D5D">
        <w:t xml:space="preserve">accessible pendant toute la durée de la consultation. </w:t>
      </w:r>
      <w:r>
        <w:t xml:space="preserve">Les données relatives </w:t>
      </w:r>
      <w:r w:rsidR="00A4661B">
        <w:t>aux propriétaires fonciers</w:t>
      </w:r>
      <w:r>
        <w:t xml:space="preserve"> y sont toutefois </w:t>
      </w:r>
      <w:proofErr w:type="spellStart"/>
      <w:r>
        <w:t>anonymisées</w:t>
      </w:r>
      <w:proofErr w:type="spellEnd"/>
      <w:r>
        <w:t>. Seule la distinction entre propriétaire privé et propriétaire public y figure.</w:t>
      </w:r>
      <w:r w:rsidR="003D1D5D">
        <w:t xml:space="preserve"> </w:t>
      </w:r>
      <w:r w:rsidR="003D1D5D" w:rsidRPr="003D1D5D">
        <w:rPr>
          <w:b/>
          <w:bCs/>
        </w:rPr>
        <w:t>Les propriétaires fonciers sont invités à consulter la version papier du dossier</w:t>
      </w:r>
      <w:r w:rsidR="003D1D5D">
        <w:rPr>
          <w:b/>
          <w:bCs/>
        </w:rPr>
        <w:t>, non-</w:t>
      </w:r>
      <w:proofErr w:type="spellStart"/>
      <w:r w:rsidR="003D1D5D">
        <w:rPr>
          <w:b/>
          <w:bCs/>
        </w:rPr>
        <w:t>anonymisée</w:t>
      </w:r>
      <w:proofErr w:type="spellEnd"/>
      <w:r w:rsidR="003D1D5D" w:rsidRPr="003D1D5D">
        <w:rPr>
          <w:b/>
          <w:bCs/>
        </w:rPr>
        <w:t>, au siège de l’EPCI.</w:t>
      </w:r>
    </w:p>
    <w:p w14:paraId="20E087FC" w14:textId="60CD8FF5" w:rsidR="00A4661B" w:rsidRDefault="00A4661B" w:rsidP="00A4661B">
      <w:pPr>
        <w:jc w:val="both"/>
      </w:pPr>
    </w:p>
    <w:p w14:paraId="2F501A5E" w14:textId="3616864A" w:rsidR="00A4661B" w:rsidRPr="00A4661B" w:rsidRDefault="00A4661B" w:rsidP="00A4661B">
      <w:pPr>
        <w:jc w:val="both"/>
        <w:rPr>
          <w:b/>
          <w:bCs/>
          <w:u w:val="single"/>
        </w:rPr>
      </w:pPr>
      <w:r w:rsidRPr="00A4661B">
        <w:rPr>
          <w:b/>
          <w:bCs/>
          <w:u w:val="single"/>
        </w:rPr>
        <w:t>Traitement des données</w:t>
      </w:r>
    </w:p>
    <w:p w14:paraId="21A2FC8C" w14:textId="6CFF8369" w:rsidR="00A4661B" w:rsidRPr="00A4661B" w:rsidRDefault="00A4661B" w:rsidP="00A4661B">
      <w:pPr>
        <w:jc w:val="both"/>
      </w:pPr>
      <w:r>
        <w:t>Conformément au c) du paragraphe 1 de l’article 6 du Règlement Général de Protection des Données, relatif à la licéité du traitement, le traitement des données non-</w:t>
      </w:r>
      <w:proofErr w:type="spellStart"/>
      <w:r>
        <w:t>anonymisées</w:t>
      </w:r>
      <w:proofErr w:type="spellEnd"/>
      <w:r>
        <w:t xml:space="preserve"> des propriétaires fonciers est légale dans la mesure où la Communauté </w:t>
      </w:r>
      <w:r w:rsidR="00275505">
        <w:t>d’agglomération Amiens Métropole</w:t>
      </w:r>
      <w:bookmarkStart w:id="0" w:name="_GoBack"/>
      <w:bookmarkEnd w:id="0"/>
      <w:r>
        <w:t xml:space="preserve"> répond à une obligation légale.</w:t>
      </w:r>
    </w:p>
    <w:sectPr w:rsidR="00A4661B" w:rsidRPr="00A466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B5237" w14:textId="77777777" w:rsidR="00A4661B" w:rsidRDefault="00A4661B" w:rsidP="00A4661B">
      <w:pPr>
        <w:spacing w:line="240" w:lineRule="auto"/>
      </w:pPr>
      <w:r>
        <w:separator/>
      </w:r>
    </w:p>
  </w:endnote>
  <w:endnote w:type="continuationSeparator" w:id="0">
    <w:p w14:paraId="468417B1" w14:textId="77777777" w:rsidR="00A4661B" w:rsidRDefault="00A4661B" w:rsidP="00A46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53040" w14:textId="77777777" w:rsidR="00A4661B" w:rsidRDefault="00A4661B" w:rsidP="00A4661B">
      <w:pPr>
        <w:spacing w:line="240" w:lineRule="auto"/>
      </w:pPr>
      <w:r>
        <w:separator/>
      </w:r>
    </w:p>
  </w:footnote>
  <w:footnote w:type="continuationSeparator" w:id="0">
    <w:p w14:paraId="07D54670" w14:textId="77777777" w:rsidR="00A4661B" w:rsidRDefault="00A4661B" w:rsidP="00A466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9419F" w14:textId="437BAF14" w:rsidR="00A4661B" w:rsidRDefault="00A4661B">
    <w:pPr>
      <w:pStyle w:val="En-tte"/>
    </w:pPr>
    <w:r>
      <w:t>Notice méthodologique</w:t>
    </w:r>
    <w:r>
      <w:ptab w:relativeTo="margin" w:alignment="center" w:leader="none"/>
    </w:r>
    <w:r>
      <w:ptab w:relativeTo="margin" w:alignment="right" w:leader="none"/>
    </w:r>
    <w:r>
      <w:t>Document de travail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30"/>
    <w:rsid w:val="00275505"/>
    <w:rsid w:val="002C300E"/>
    <w:rsid w:val="002C64D5"/>
    <w:rsid w:val="003D1D5D"/>
    <w:rsid w:val="009B4E02"/>
    <w:rsid w:val="00A4661B"/>
    <w:rsid w:val="00DE3530"/>
    <w:rsid w:val="00F92DD9"/>
    <w:rsid w:val="00F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B71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661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661B"/>
  </w:style>
  <w:style w:type="paragraph" w:styleId="Pieddepage">
    <w:name w:val="footer"/>
    <w:basedOn w:val="Normal"/>
    <w:link w:val="PieddepageCar"/>
    <w:uiPriority w:val="99"/>
    <w:unhideWhenUsed/>
    <w:rsid w:val="00A4661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661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661B"/>
  </w:style>
  <w:style w:type="paragraph" w:styleId="Pieddepage">
    <w:name w:val="footer"/>
    <w:basedOn w:val="Normal"/>
    <w:link w:val="PieddepageCar"/>
    <w:uiPriority w:val="99"/>
    <w:unhideWhenUsed/>
    <w:rsid w:val="00A4661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Véréna BOURBIA</dc:creator>
  <cp:keywords/>
  <dc:description/>
  <cp:lastModifiedBy>DINGEON Juliette</cp:lastModifiedBy>
  <cp:revision>4</cp:revision>
  <dcterms:created xsi:type="dcterms:W3CDTF">2023-03-26T14:21:00Z</dcterms:created>
  <dcterms:modified xsi:type="dcterms:W3CDTF">2023-09-07T13:40:00Z</dcterms:modified>
</cp:coreProperties>
</file>